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</w:t>
      </w:r>
      <w:r>
        <w:rPr>
          <w:rFonts w:ascii="Times New Roman" w:eastAsia="Times New Roman" w:hAnsi="Times New Roman" w:cs="Times New Roman"/>
        </w:rPr>
        <w:t xml:space="preserve"> «Монолит»</w:t>
      </w:r>
      <w:r>
        <w:rPr>
          <w:rFonts w:ascii="Times New Roman" w:eastAsia="Times New Roman" w:hAnsi="Times New Roman" w:cs="Times New Roman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Садовникову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взыскании задо</w:t>
      </w:r>
      <w:r>
        <w:rPr>
          <w:rFonts w:ascii="Times New Roman" w:eastAsia="Times New Roman" w:hAnsi="Times New Roman" w:cs="Times New Roman"/>
        </w:rPr>
        <w:t xml:space="preserve">лженности по оплате </w:t>
      </w:r>
      <w:r>
        <w:rPr>
          <w:rFonts w:ascii="Times New Roman" w:eastAsia="Times New Roman" w:hAnsi="Times New Roman" w:cs="Times New Roman"/>
        </w:rPr>
        <w:t>жилищно-</w:t>
      </w:r>
      <w:r>
        <w:rPr>
          <w:rFonts w:ascii="Times New Roman" w:eastAsia="Times New Roman" w:hAnsi="Times New Roman" w:cs="Times New Roman"/>
        </w:rPr>
        <w:t>коммунальн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услу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пени,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</w:t>
      </w:r>
      <w:r>
        <w:rPr>
          <w:rFonts w:ascii="Times New Roman" w:eastAsia="Times New Roman" w:hAnsi="Times New Roman" w:cs="Times New Roman"/>
        </w:rPr>
        <w:t xml:space="preserve"> «Монолит»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Садовникову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</w:t>
      </w:r>
      <w:r>
        <w:rPr>
          <w:rFonts w:ascii="Times New Roman" w:eastAsia="Times New Roman" w:hAnsi="Times New Roman" w:cs="Times New Roman"/>
        </w:rPr>
        <w:t>лженности по оплате жилищно-коммунальных</w:t>
      </w:r>
      <w:r>
        <w:rPr>
          <w:rFonts w:ascii="Times New Roman" w:eastAsia="Times New Roman" w:hAnsi="Times New Roman" w:cs="Times New Roman"/>
        </w:rPr>
        <w:t xml:space="preserve"> услу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пени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Садовникова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 «Монолит»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по оплате </w:t>
      </w:r>
      <w:r>
        <w:rPr>
          <w:rFonts w:ascii="Times New Roman" w:eastAsia="Times New Roman" w:hAnsi="Times New Roman" w:cs="Times New Roman"/>
        </w:rPr>
        <w:t>жилищно-коммунальных</w:t>
      </w:r>
      <w:r>
        <w:rPr>
          <w:rFonts w:ascii="Times New Roman" w:eastAsia="Times New Roman" w:hAnsi="Times New Roman" w:cs="Times New Roman"/>
        </w:rPr>
        <w:t xml:space="preserve"> услу</w:t>
      </w:r>
      <w:r>
        <w:rPr>
          <w:rFonts w:ascii="Times New Roman" w:eastAsia="Times New Roman" w:hAnsi="Times New Roman" w:cs="Times New Roman"/>
        </w:rPr>
        <w:t>г, предоставленных</w:t>
      </w:r>
      <w:r>
        <w:rPr>
          <w:rFonts w:ascii="Times New Roman" w:eastAsia="Times New Roman" w:hAnsi="Times New Roman" w:cs="Times New Roman"/>
        </w:rPr>
        <w:t xml:space="preserve"> по адресу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Сургут, ул. </w:t>
      </w:r>
      <w:r>
        <w:rPr>
          <w:rStyle w:val="cat-UserDefinedgrp-27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пропорционально доле в праве,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пени за просрочку оплаты за период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 11.0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судебные расходы</w:t>
      </w:r>
      <w:r>
        <w:rPr>
          <w:rFonts w:ascii="Times New Roman" w:eastAsia="Times New Roman" w:hAnsi="Times New Roman" w:cs="Times New Roman"/>
        </w:rPr>
        <w:t xml:space="preserve"> по уплате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30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почтовые расходы в размере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всего </w:t>
      </w:r>
      <w:r>
        <w:rPr>
          <w:rStyle w:val="cat-UserDefinedgrp-32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3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4rplc-41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